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668" w:rsidRPr="0092121D" w:rsidRDefault="00B40668" w:rsidP="004D1C6A">
      <w:pPr>
        <w:jc w:val="both"/>
        <w:rPr>
          <w:sz w:val="26"/>
          <w:szCs w:val="26"/>
        </w:rPr>
      </w:pPr>
    </w:p>
    <w:p w:rsidR="004D1C6A" w:rsidRPr="0092121D" w:rsidRDefault="004D1C6A" w:rsidP="004D1C6A">
      <w:pPr>
        <w:jc w:val="both"/>
        <w:rPr>
          <w:sz w:val="26"/>
          <w:szCs w:val="26"/>
        </w:rPr>
      </w:pPr>
    </w:p>
    <w:p w:rsidR="004D1C6A" w:rsidRDefault="004D1C6A" w:rsidP="004D1C6A">
      <w:pPr>
        <w:jc w:val="both"/>
        <w:rPr>
          <w:sz w:val="26"/>
          <w:szCs w:val="26"/>
        </w:rPr>
      </w:pPr>
    </w:p>
    <w:p w:rsidR="0092121D" w:rsidRDefault="0092121D" w:rsidP="004D1C6A">
      <w:pPr>
        <w:jc w:val="both"/>
        <w:rPr>
          <w:sz w:val="26"/>
          <w:szCs w:val="26"/>
        </w:rPr>
      </w:pPr>
    </w:p>
    <w:p w:rsidR="0092121D" w:rsidRPr="0092121D" w:rsidRDefault="00B32843" w:rsidP="0092121D">
      <w:pPr>
        <w:jc w:val="center"/>
        <w:rPr>
          <w:sz w:val="26"/>
          <w:szCs w:val="26"/>
        </w:rPr>
      </w:pPr>
      <w:r>
        <w:rPr>
          <w:b/>
          <w:bCs/>
          <w:sz w:val="26"/>
          <w:szCs w:val="2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25pt;height:53.25pt">
            <v:fill r:id="rId6" o:title=""/>
            <v:stroke r:id="rId6" o:title=""/>
            <v:shadow color="#868686"/>
            <v:textpath style="font-family:&quot;Arial Black&quot;;v-text-kern:t" trim="t" fitpath="t" string="BHARAT BHUSHAN EQUITY TRADERS LTD"/>
          </v:shape>
        </w:pict>
      </w:r>
    </w:p>
    <w:p w:rsidR="004D1C6A" w:rsidRPr="0092121D" w:rsidRDefault="004D1C6A" w:rsidP="004D1C6A">
      <w:pPr>
        <w:jc w:val="both"/>
        <w:rPr>
          <w:sz w:val="26"/>
          <w:szCs w:val="26"/>
        </w:rPr>
      </w:pPr>
    </w:p>
    <w:p w:rsidR="004D1C6A" w:rsidRPr="008735B7" w:rsidRDefault="004D1C6A" w:rsidP="004D1C6A">
      <w:pPr>
        <w:jc w:val="center"/>
        <w:rPr>
          <w:sz w:val="28"/>
          <w:szCs w:val="28"/>
          <w:u w:val="single"/>
        </w:rPr>
      </w:pPr>
      <w:r w:rsidRPr="008735B7">
        <w:rPr>
          <w:sz w:val="28"/>
          <w:szCs w:val="28"/>
          <w:u w:val="single"/>
        </w:rPr>
        <w:t>Policy for Inactive Clients</w:t>
      </w:r>
    </w:p>
    <w:p w:rsidR="004D1C6A" w:rsidRDefault="004D1C6A" w:rsidP="004D1C6A">
      <w:pPr>
        <w:jc w:val="center"/>
        <w:rPr>
          <w:sz w:val="26"/>
          <w:szCs w:val="26"/>
        </w:rPr>
      </w:pPr>
    </w:p>
    <w:p w:rsidR="002506C0" w:rsidRPr="0092121D" w:rsidRDefault="002506C0" w:rsidP="004D1C6A">
      <w:pPr>
        <w:jc w:val="center"/>
        <w:rPr>
          <w:sz w:val="26"/>
          <w:szCs w:val="26"/>
        </w:rPr>
      </w:pPr>
    </w:p>
    <w:p w:rsidR="00F73EAB" w:rsidRDefault="004D1C6A" w:rsidP="004D1C6A">
      <w:pPr>
        <w:jc w:val="both"/>
        <w:rPr>
          <w:sz w:val="26"/>
          <w:szCs w:val="26"/>
        </w:rPr>
      </w:pPr>
      <w:r w:rsidRPr="0092121D">
        <w:rPr>
          <w:sz w:val="26"/>
          <w:szCs w:val="26"/>
        </w:rPr>
        <w:t xml:space="preserve">Client account will be considered as inactive if the client does not trade for period of </w:t>
      </w:r>
      <w:r w:rsidR="00B32843">
        <w:rPr>
          <w:sz w:val="26"/>
          <w:szCs w:val="26"/>
        </w:rPr>
        <w:t xml:space="preserve">12 </w:t>
      </w:r>
      <w:bookmarkStart w:id="0" w:name="_GoBack"/>
      <w:bookmarkEnd w:id="0"/>
      <w:r w:rsidRPr="0092121D">
        <w:rPr>
          <w:sz w:val="26"/>
          <w:szCs w:val="26"/>
        </w:rPr>
        <w:t xml:space="preserve">months. </w:t>
      </w:r>
      <w:r w:rsidR="008735B7">
        <w:rPr>
          <w:sz w:val="26"/>
          <w:szCs w:val="26"/>
        </w:rPr>
        <w:t>T</w:t>
      </w:r>
      <w:r w:rsidRPr="0092121D">
        <w:rPr>
          <w:sz w:val="26"/>
          <w:szCs w:val="26"/>
        </w:rPr>
        <w:t xml:space="preserve">hose clients who have not traded even a single time will be considered as inactive, the shares/ credit ledger balance if any will be transferred to the client on his/her request or as per the running accounts authorization. In case of Debit balance, we reserve the right to recover such dues by selling the securities or initiating legal proceedings or any other action as it may deem fit. </w:t>
      </w:r>
    </w:p>
    <w:p w:rsidR="00F73EAB" w:rsidRPr="00F73EAB" w:rsidRDefault="00F73EAB" w:rsidP="004D1C6A">
      <w:pPr>
        <w:jc w:val="both"/>
        <w:rPr>
          <w:sz w:val="26"/>
          <w:szCs w:val="26"/>
        </w:rPr>
      </w:pPr>
    </w:p>
    <w:p w:rsidR="00F73EAB" w:rsidRPr="00F73EAB" w:rsidRDefault="00F73EAB" w:rsidP="004D1C6A">
      <w:pPr>
        <w:jc w:val="both"/>
        <w:rPr>
          <w:sz w:val="26"/>
          <w:szCs w:val="26"/>
        </w:rPr>
      </w:pPr>
      <w:r w:rsidRPr="00F73EAB">
        <w:rPr>
          <w:sz w:val="26"/>
          <w:szCs w:val="26"/>
        </w:rPr>
        <w:t xml:space="preserve">The exercise to designate accounts as “inactive” may be done once in </w:t>
      </w:r>
      <w:r w:rsidR="007E77FC">
        <w:rPr>
          <w:sz w:val="26"/>
          <w:szCs w:val="26"/>
        </w:rPr>
        <w:t>a</w:t>
      </w:r>
      <w:r w:rsidRPr="00F73EAB">
        <w:rPr>
          <w:sz w:val="26"/>
          <w:szCs w:val="26"/>
        </w:rPr>
        <w:t xml:space="preserve"> month or at such other time interval as may be required.</w:t>
      </w:r>
    </w:p>
    <w:p w:rsidR="0092121D" w:rsidRDefault="0092121D" w:rsidP="004D1C6A">
      <w:pPr>
        <w:jc w:val="both"/>
        <w:rPr>
          <w:sz w:val="26"/>
          <w:szCs w:val="26"/>
        </w:rPr>
      </w:pPr>
    </w:p>
    <w:p w:rsidR="00F73EAB" w:rsidRPr="00F73EAB" w:rsidRDefault="00F73EAB" w:rsidP="004D1C6A">
      <w:pPr>
        <w:jc w:val="both"/>
        <w:rPr>
          <w:sz w:val="26"/>
          <w:szCs w:val="26"/>
        </w:rPr>
      </w:pPr>
      <w:r w:rsidRPr="00F73EAB">
        <w:rPr>
          <w:sz w:val="26"/>
          <w:szCs w:val="26"/>
        </w:rPr>
        <w:t>An “inactive” account may be re-activated for normal trading activity upon receiving a request for the same, from the client and upon receipt of current KYC supporting documents and / or updating of any changes, as may be required.</w:t>
      </w:r>
    </w:p>
    <w:p w:rsidR="00F73EAB" w:rsidRPr="0092121D" w:rsidRDefault="00F73EAB" w:rsidP="004D1C6A">
      <w:pPr>
        <w:jc w:val="both"/>
        <w:rPr>
          <w:sz w:val="26"/>
          <w:szCs w:val="26"/>
        </w:rPr>
      </w:pPr>
    </w:p>
    <w:p w:rsidR="004D1C6A" w:rsidRPr="0092121D" w:rsidRDefault="004D1C6A" w:rsidP="004D1C6A">
      <w:pPr>
        <w:jc w:val="both"/>
        <w:rPr>
          <w:sz w:val="26"/>
          <w:szCs w:val="26"/>
        </w:rPr>
      </w:pPr>
      <w:r w:rsidRPr="0092121D">
        <w:rPr>
          <w:sz w:val="26"/>
          <w:szCs w:val="26"/>
        </w:rPr>
        <w:t>A copy of the active client list has to be forwarded to dealers who operate</w:t>
      </w:r>
      <w:r w:rsidR="0092121D" w:rsidRPr="0092121D">
        <w:rPr>
          <w:sz w:val="26"/>
          <w:szCs w:val="26"/>
        </w:rPr>
        <w:t xml:space="preserve"> </w:t>
      </w:r>
      <w:r w:rsidRPr="0092121D">
        <w:rPr>
          <w:sz w:val="26"/>
          <w:szCs w:val="26"/>
        </w:rPr>
        <w:t>NEAT/BOLT terminals. If any orders are received from the inactive client, the</w:t>
      </w:r>
      <w:r w:rsidR="0092121D" w:rsidRPr="0092121D">
        <w:rPr>
          <w:sz w:val="26"/>
          <w:szCs w:val="26"/>
        </w:rPr>
        <w:t xml:space="preserve"> </w:t>
      </w:r>
      <w:r w:rsidRPr="0092121D">
        <w:rPr>
          <w:sz w:val="26"/>
          <w:szCs w:val="26"/>
        </w:rPr>
        <w:t>dealer shall take reasonable steps to identify the client and to ensure that the orders</w:t>
      </w:r>
      <w:r w:rsidR="0092121D" w:rsidRPr="0092121D">
        <w:rPr>
          <w:sz w:val="26"/>
          <w:szCs w:val="26"/>
        </w:rPr>
        <w:t xml:space="preserve"> </w:t>
      </w:r>
      <w:r w:rsidRPr="0092121D">
        <w:rPr>
          <w:sz w:val="26"/>
          <w:szCs w:val="26"/>
        </w:rPr>
        <w:t>are received from the same client. In case of a doubt the matter shall be referred to</w:t>
      </w:r>
      <w:r w:rsidR="0092121D" w:rsidRPr="0092121D">
        <w:rPr>
          <w:sz w:val="26"/>
          <w:szCs w:val="26"/>
        </w:rPr>
        <w:t xml:space="preserve"> </w:t>
      </w:r>
      <w:r w:rsidRPr="0092121D">
        <w:rPr>
          <w:sz w:val="26"/>
          <w:szCs w:val="26"/>
        </w:rPr>
        <w:t>the concerned Sub-Broker</w:t>
      </w:r>
      <w:r w:rsidR="00773FA7">
        <w:rPr>
          <w:sz w:val="26"/>
          <w:szCs w:val="26"/>
        </w:rPr>
        <w:t>/Authorized Person</w:t>
      </w:r>
      <w:r w:rsidRPr="0092121D">
        <w:rPr>
          <w:sz w:val="26"/>
          <w:szCs w:val="26"/>
        </w:rPr>
        <w:t xml:space="preserve"> or Introducer.</w:t>
      </w:r>
    </w:p>
    <w:p w:rsidR="0092121D" w:rsidRPr="0092121D" w:rsidRDefault="0092121D" w:rsidP="004D1C6A">
      <w:pPr>
        <w:jc w:val="both"/>
        <w:rPr>
          <w:sz w:val="26"/>
          <w:szCs w:val="26"/>
        </w:rPr>
      </w:pPr>
    </w:p>
    <w:p w:rsidR="00F65DA1" w:rsidRPr="002506C0" w:rsidRDefault="002506C0" w:rsidP="004D1C6A">
      <w:pPr>
        <w:jc w:val="both"/>
        <w:rPr>
          <w:sz w:val="26"/>
          <w:szCs w:val="26"/>
        </w:rPr>
      </w:pPr>
      <w:r w:rsidRPr="002506C0">
        <w:rPr>
          <w:sz w:val="26"/>
          <w:szCs w:val="26"/>
        </w:rPr>
        <w:t>This policy may be reviewed as and when there are any changes introduced by any statutory authority or as and when it is found necessary to change on account of business needs and Risk Management policy</w:t>
      </w:r>
    </w:p>
    <w:p w:rsidR="00F65DA1" w:rsidRDefault="00F65DA1" w:rsidP="004D1C6A">
      <w:pPr>
        <w:jc w:val="both"/>
        <w:rPr>
          <w:sz w:val="26"/>
          <w:szCs w:val="26"/>
        </w:rPr>
      </w:pPr>
    </w:p>
    <w:p w:rsidR="00F65DA1" w:rsidRDefault="00F65DA1" w:rsidP="004D1C6A">
      <w:pPr>
        <w:jc w:val="both"/>
        <w:rPr>
          <w:sz w:val="26"/>
          <w:szCs w:val="26"/>
        </w:rPr>
      </w:pPr>
    </w:p>
    <w:p w:rsidR="00F65DA1" w:rsidRDefault="00F65DA1" w:rsidP="004D1C6A">
      <w:pPr>
        <w:jc w:val="both"/>
        <w:rPr>
          <w:sz w:val="26"/>
          <w:szCs w:val="26"/>
        </w:rPr>
      </w:pPr>
    </w:p>
    <w:p w:rsidR="00F65DA1" w:rsidRPr="0092121D" w:rsidRDefault="00F65DA1" w:rsidP="00F65DA1">
      <w:pPr>
        <w:jc w:val="center"/>
        <w:rPr>
          <w:sz w:val="26"/>
          <w:szCs w:val="26"/>
        </w:rPr>
      </w:pPr>
      <w:r>
        <w:rPr>
          <w:sz w:val="26"/>
          <w:szCs w:val="26"/>
        </w:rPr>
        <w:t>***********</w:t>
      </w:r>
    </w:p>
    <w:sectPr w:rsidR="00F65DA1" w:rsidRPr="0092121D" w:rsidSect="003118C4">
      <w:pgSz w:w="12240" w:h="15840"/>
      <w:pgMar w:top="993" w:right="1440" w:bottom="1440" w:left="144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C6A"/>
    <w:rsid w:val="00070FA0"/>
    <w:rsid w:val="002506C0"/>
    <w:rsid w:val="003118C4"/>
    <w:rsid w:val="00436FEA"/>
    <w:rsid w:val="004D1C6A"/>
    <w:rsid w:val="00773FA7"/>
    <w:rsid w:val="007E77FC"/>
    <w:rsid w:val="008735B7"/>
    <w:rsid w:val="00891513"/>
    <w:rsid w:val="0092121D"/>
    <w:rsid w:val="00A9381C"/>
    <w:rsid w:val="00B32843"/>
    <w:rsid w:val="00B40668"/>
    <w:rsid w:val="00BE55B1"/>
    <w:rsid w:val="00EF1C8E"/>
    <w:rsid w:val="00F65DA1"/>
    <w:rsid w:val="00F73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FEA"/>
    <w:pPr>
      <w:suppressAutoHyphens/>
    </w:pPr>
    <w:rPr>
      <w:sz w:val="24"/>
      <w:szCs w:val="24"/>
      <w:lang w:eastAsia="ar-SA"/>
    </w:rPr>
  </w:style>
  <w:style w:type="paragraph" w:styleId="Heading1">
    <w:name w:val="heading 1"/>
    <w:basedOn w:val="Normal"/>
    <w:next w:val="Normal"/>
    <w:link w:val="Heading1Char"/>
    <w:qFormat/>
    <w:rsid w:val="00436FEA"/>
    <w:pPr>
      <w:keepNext/>
      <w:spacing w:line="240" w:lineRule="atLeast"/>
      <w:ind w:right="108"/>
      <w:jc w:val="both"/>
      <w:outlineLvl w:val="0"/>
    </w:pPr>
    <w:rPr>
      <w:b/>
      <w:bCs/>
      <w:color w:val="000000"/>
    </w:rPr>
  </w:style>
  <w:style w:type="paragraph" w:styleId="Heading2">
    <w:name w:val="heading 2"/>
    <w:basedOn w:val="Normal"/>
    <w:next w:val="Normal"/>
    <w:link w:val="Heading2Char"/>
    <w:qFormat/>
    <w:rsid w:val="00436FEA"/>
    <w:pPr>
      <w:keepNext/>
      <w:outlineLvl w:val="1"/>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6FEA"/>
    <w:rPr>
      <w:b/>
      <w:bCs/>
      <w:color w:val="000000"/>
      <w:sz w:val="24"/>
      <w:szCs w:val="24"/>
      <w:lang w:eastAsia="ar-SA"/>
    </w:rPr>
  </w:style>
  <w:style w:type="character" w:customStyle="1" w:styleId="Heading2Char">
    <w:name w:val="Heading 2 Char"/>
    <w:basedOn w:val="DefaultParagraphFont"/>
    <w:link w:val="Heading2"/>
    <w:rsid w:val="00436FEA"/>
    <w:rPr>
      <w:b/>
      <w:bCs/>
      <w:sz w:val="26"/>
      <w:szCs w:val="24"/>
      <w:lang w:eastAsia="ar-SA"/>
    </w:rPr>
  </w:style>
  <w:style w:type="paragraph" w:styleId="Caption">
    <w:name w:val="caption"/>
    <w:basedOn w:val="Normal"/>
    <w:qFormat/>
    <w:rsid w:val="00436FEA"/>
    <w:pPr>
      <w:suppressLineNumbers/>
      <w:spacing w:before="120" w:after="120"/>
    </w:pPr>
    <w:rPr>
      <w:rFonts w:cs="Mangal"/>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FEA"/>
    <w:pPr>
      <w:suppressAutoHyphens/>
    </w:pPr>
    <w:rPr>
      <w:sz w:val="24"/>
      <w:szCs w:val="24"/>
      <w:lang w:eastAsia="ar-SA"/>
    </w:rPr>
  </w:style>
  <w:style w:type="paragraph" w:styleId="Heading1">
    <w:name w:val="heading 1"/>
    <w:basedOn w:val="Normal"/>
    <w:next w:val="Normal"/>
    <w:link w:val="Heading1Char"/>
    <w:qFormat/>
    <w:rsid w:val="00436FEA"/>
    <w:pPr>
      <w:keepNext/>
      <w:spacing w:line="240" w:lineRule="atLeast"/>
      <w:ind w:right="108"/>
      <w:jc w:val="both"/>
      <w:outlineLvl w:val="0"/>
    </w:pPr>
    <w:rPr>
      <w:b/>
      <w:bCs/>
      <w:color w:val="000000"/>
    </w:rPr>
  </w:style>
  <w:style w:type="paragraph" w:styleId="Heading2">
    <w:name w:val="heading 2"/>
    <w:basedOn w:val="Normal"/>
    <w:next w:val="Normal"/>
    <w:link w:val="Heading2Char"/>
    <w:qFormat/>
    <w:rsid w:val="00436FEA"/>
    <w:pPr>
      <w:keepNext/>
      <w:outlineLvl w:val="1"/>
    </w:pPr>
    <w:rPr>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6FEA"/>
    <w:rPr>
      <w:b/>
      <w:bCs/>
      <w:color w:val="000000"/>
      <w:sz w:val="24"/>
      <w:szCs w:val="24"/>
      <w:lang w:eastAsia="ar-SA"/>
    </w:rPr>
  </w:style>
  <w:style w:type="character" w:customStyle="1" w:styleId="Heading2Char">
    <w:name w:val="Heading 2 Char"/>
    <w:basedOn w:val="DefaultParagraphFont"/>
    <w:link w:val="Heading2"/>
    <w:rsid w:val="00436FEA"/>
    <w:rPr>
      <w:b/>
      <w:bCs/>
      <w:sz w:val="26"/>
      <w:szCs w:val="24"/>
      <w:lang w:eastAsia="ar-SA"/>
    </w:rPr>
  </w:style>
  <w:style w:type="paragraph" w:styleId="Caption">
    <w:name w:val="caption"/>
    <w:basedOn w:val="Normal"/>
    <w:qFormat/>
    <w:rsid w:val="00436FEA"/>
    <w:pPr>
      <w:suppressLineNumbers/>
      <w:spacing w:before="120" w:after="120"/>
    </w:pPr>
    <w:rPr>
      <w:rFonts w:cs="Mangal"/>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223</Words>
  <Characters>1274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prasad</dc:creator>
  <cp:keywords/>
  <dc:description/>
  <cp:lastModifiedBy>prasad</cp:lastModifiedBy>
  <cp:revision>10</cp:revision>
  <dcterms:created xsi:type="dcterms:W3CDTF">2014-07-03T09:03:00Z</dcterms:created>
  <dcterms:modified xsi:type="dcterms:W3CDTF">2018-06-02T07:09:00Z</dcterms:modified>
</cp:coreProperties>
</file>